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f7fc3bbba6a4047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36766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OPĆINA DONJI ANDRIJEVCI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22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IX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1.716.016,58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2.709.867,19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157,9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1.366.171,08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1.495.237,55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109,4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349.845,50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1.214.629,64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347,2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6.053,38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5.963,43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98,5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655.198,77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1.807.693,29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275,9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649.145,39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1.801.729,86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277,6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304.056,90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576.224,81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189,5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67.190,52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500.000,00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744,2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PRIMITAKA OD FINANCIJSKE IMOVINE I ZADUŽIVANJA (šifre 8-5)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236.866,38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76.224,81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32,2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62.433,51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510.875,41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818,3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Općina je u izvještajnom razdoblju ostvarila višak prihoda poslovanja u iznosu od 1,214,629,64 €., manjak prihoda od nefinancijske imovine u iznosu od1.801.693,29 € i višak od financijske imovine u iznosu od 76.224,81 €. Ostvareni manjak prihoda i primitaka izvještajnog razdoblja u iznosu od 510.875,41 €, rezultat je pojačanih aktivnosti na izgradnji vrtića, izgradnja šumskih puteva, izgradnja pješačko biciklističkih staza, a za koje  , nakon plaćanja situacija, sredstva pristižu iz odgovarajućih fondova (EU) i državnog proračuna , prema poslanim ZNS-ovima. Kroz  nadolazeće razdoblje sredstva koja pristignu  zatvorit će planiranu financijsku konstrukciju , odnosno trenutni manjak prihoda.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1.716.016,58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2.709.867,19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157,9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Prihodi poslovanja su ostvareni sa  2.709.867,19 €, što je 57,9% više u odnosu na isto razdoblje prethodne godine. Razlog ovog povećanja su nove aktivnosti i projekti koji su realizirani u 2025.g., odnosno dio prihoda (pomoći) koji su do 30.9.2025.g. uplaćeni na općinski proračun u najvećoj mjeri se odnose na njih.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Pomoći iz inozemstva i od subjekata unutar općeg proračuna (šifre 631+632+633+634+635+636+637+638+639)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905.839,84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1.864.192,41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205,8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Pomoći iz inozemstva i  od subjekata unutar općeg proračuna: 63 
63311-Državni proračun-Ministarstvo kulture-Samičarska radionica-2.400,00 €, 63312- Proračun BPŽ-sredstva za dezinsekciju i refundacija troškova lokalnih izbora: 23.903,37 ,  Kapitalna pomoć-Ministarstvo turizma-za malonogometno igralište-45.000,00 €,  634- HZZO-zapošljavanje Javni rad-13.679,40 €, 635- Fiskalno izravnanje- 487.836,44 €,  6381- Projekt Zaželi-ZNS-107.226,80 €, APPRR- LAG- 23.624,40 €, APPRR- sredstva pomoći za izgradnju šumskih puteva i izgradnju dječjeg vrtića -900.252.,00€, Državni proračuna-Ministarstvo reg. razvoja-ITU mehanizam-za biciklističko pješačke staze: 260.270,00 €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1.366.171,08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1.495.237,55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109,4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poslovanja, u odnosu na prethodnu godinu izvršeni su u nešto većem iznosu. Povećanje pojedinih rashoda kod razrade prihoda poslovanja kroz analitička konta 4 razine, odnose se na rashode za zaposlene (povećanje minimalne plaće kod projekta Zaželi), rashodi za usluge (komunalne), financijski rashodi (kamate za primljene zajmove), 381- Rashodi donacije ove godine sva dodijeljena sredstva iz Javnog natječaja teretila su rashod, bez obzira na vrijeme isplate.  Smanjenje je vidljivo kod rashoda skupine 372 ( prethodne godine su izvršene isplate pomoći za štete od elementarne nepogode iz 2023,g)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Komunalne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107.409,48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305.182,62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284,1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Razlog povećanja ovog rashoda u odnosu na proteklu godinu su pojačana sredstva za održavanje komunalnih i ostalih javnih površina.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proizvedene dugotrajne imovine (šifre 421+422+423+424+425+426)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616.132,58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1.781.765,00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289,2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proizvedene dugotrajne imovine, Šifra 42, imaju značajan porast u odnosu na isto izvještajno razdoblje prošle godine. Razlog ovog povećanja su završetak izgradnje dječjeg  vrtića, izgradnja šumskih puteva, izgradnja pješačko biciklističkih staza, javne rasvjete kojih u prethodnoj godini nije bilo. Index 289,2. Također je kupljena oprema za opremanje vrtićkog  igrališta  i opreme za potrebe općinske uprave.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(povrati) glavnice zajmova danih trgovačkim društvima u javnom sektoru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Odnosi se na povrat kratkoročne pozajmice komunalnog društva iz prethodne godine, koja je u ovoj godini u cijelosti vraćena.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Primljeni krediti i zajmovi od kreditnih i ostalih financijskih institucija izvan javnog sektora (šifre 8443 do 8448)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844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539.224,81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Šifra 844-Primljeni krediti i zajmovi.... , odnose se na kratkoročno zaduženje kod matične poslovne banke (PBZ), radi podmirivanja dijela izdataka kod započetih investicija, a za koja će sredstva pristižu kroz ZNS-ove i na korišteno dopušteno prekoračenje na dan 30.9.2025.g.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67.190,52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500.000,00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744,2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Šifra 54- Izdaci za otplatu glavnice primljenih kredita i zajmova - odnose se na otplatu primljenog kratkoročnog zajma matične poslovne banke iz 2024.g., a čije dospijeće cijele glavnice je bilo u prvom polugodištu 2025.g.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i primitaka za pokriće u sljedećem razdoblju (šifre Y005 + '9222-9221' - X005 - '9221-9222' 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212.804,17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prihoda i primitaka za pokriće u sljedećem razdoblju rezultat je zbroja prenesenog viška iz prethodne godine (korigiranog) - 298.071,24 € i manjka ostvarenog u ovom izvještajnom razdoblju- 510.875,41 , i iznosi  212.804,17 €.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106.736,64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dospjelih neplaćenih obveza općine odnosi se na račune koji su pristigli, ali je njihova dostava od strane dobavljača kasnila, a dospijeća plaćanja  zadana na njima su bila kratka. Ti dospjeli računi su već početkom mjeseca listopada dijelom  plaćeni, odnosno do dana sastavljanja bilješki i popunjavanja izvještaja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nedospjelih obveza na kraju izvještajnog razdoblja (šifre V010 + ND23 + ND24 + 'ND dio 25,26' + ND27)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651.935,02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nedospjelih obveza odnosi se na : plaće za zaposlene za 9/2025.g.,  i nedospjele obveze prema dobavljačima za rashode poslovanja i rashode za nabave nefinancijske imovine. Također i obveze za financijsku imovinu koje sadrže nedospjelu obvezu kratkoročno zaduženja i dopušteno prekoračenje po računu ta obveze za predujmove i jamčevne pologe.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9954a8b84f641a2" /></Relationships>
</file>